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b/>
          <w:bCs/>
          <w:szCs w:val="24"/>
          <w:lang w:eastAsia="es-CO"/>
        </w:rPr>
        <w:t>DECRETO N° 3027</w:t>
      </w:r>
    </w:p>
    <w:p w:rsidR="00E22F42" w:rsidRDefault="00E22F42" w:rsidP="00436C20">
      <w:pPr>
        <w:adjustRightInd w:val="0"/>
        <w:spacing w:line="240" w:lineRule="auto"/>
        <w:jc w:val="center"/>
        <w:rPr>
          <w:rFonts w:eastAsia="Times New Roman"/>
          <w:b/>
          <w:szCs w:val="24"/>
          <w:lang w:eastAsia="es-CO"/>
        </w:rPr>
      </w:pPr>
    </w:p>
    <w:p w:rsidR="00436C20" w:rsidRDefault="00436C20" w:rsidP="00436C20">
      <w:pPr>
        <w:adjustRightInd w:val="0"/>
        <w:spacing w:line="240" w:lineRule="auto"/>
        <w:jc w:val="center"/>
        <w:rPr>
          <w:rFonts w:eastAsia="Times New Roman"/>
          <w:b/>
          <w:szCs w:val="24"/>
          <w:lang w:eastAsia="es-CO"/>
        </w:rPr>
      </w:pPr>
      <w:r w:rsidRPr="00D72FF8">
        <w:rPr>
          <w:rFonts w:eastAsia="Times New Roman"/>
          <w:b/>
          <w:szCs w:val="24"/>
          <w:lang w:eastAsia="es-CO"/>
        </w:rPr>
        <w:t>27-12-2013</w:t>
      </w:r>
    </w:p>
    <w:p w:rsidR="00E22F42" w:rsidRPr="00D72FF8" w:rsidRDefault="00E22F42" w:rsidP="00E22F42">
      <w:pPr>
        <w:adjustRightInd w:val="0"/>
        <w:spacing w:line="240" w:lineRule="auto"/>
        <w:rPr>
          <w:rFonts w:eastAsia="Times New Roman"/>
          <w:szCs w:val="24"/>
          <w:lang w:eastAsia="es-CO"/>
        </w:rPr>
      </w:pPr>
    </w:p>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b/>
          <w:iCs/>
          <w:szCs w:val="24"/>
          <w:lang w:eastAsia="es-CO"/>
        </w:rPr>
        <w:t>MINISTERIO DE HACIENDA Y CRÉDITO PÚBLICO</w:t>
      </w:r>
    </w:p>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b/>
          <w:i/>
          <w:iCs/>
          <w:szCs w:val="24"/>
          <w:lang w:eastAsia="es-CO"/>
        </w:rPr>
        <w:t> </w:t>
      </w:r>
    </w:p>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b/>
          <w:i/>
          <w:iCs/>
          <w:szCs w:val="24"/>
          <w:lang w:eastAsia="es-CO"/>
        </w:rPr>
        <w:t> </w:t>
      </w:r>
    </w:p>
    <w:p w:rsidR="00436C20" w:rsidRPr="00D72FF8" w:rsidRDefault="00436C20" w:rsidP="00436C20">
      <w:pPr>
        <w:adjustRightInd w:val="0"/>
        <w:spacing w:line="240" w:lineRule="auto"/>
        <w:jc w:val="center"/>
        <w:rPr>
          <w:rFonts w:eastAsia="Times New Roman"/>
          <w:szCs w:val="24"/>
          <w:lang w:eastAsia="es-CO"/>
        </w:rPr>
      </w:pPr>
      <w:proofErr w:type="gramStart"/>
      <w:r w:rsidRPr="00D72FF8">
        <w:rPr>
          <w:rFonts w:eastAsia="Times New Roman"/>
          <w:i/>
          <w:iCs/>
          <w:szCs w:val="24"/>
          <w:lang w:eastAsia="es-CO"/>
        </w:rPr>
        <w:t>por</w:t>
      </w:r>
      <w:proofErr w:type="gramEnd"/>
      <w:r w:rsidRPr="00D72FF8">
        <w:rPr>
          <w:rFonts w:eastAsia="Times New Roman"/>
          <w:i/>
          <w:iCs/>
          <w:szCs w:val="24"/>
          <w:lang w:eastAsia="es-CO"/>
        </w:rPr>
        <w:t xml:space="preserve"> el cual se reglamenta el </w:t>
      </w:r>
      <w:hyperlink r:id="rId5" w:tooltip="Estatuto Tributario CETA" w:history="1">
        <w:r w:rsidRPr="00D72FF8">
          <w:rPr>
            <w:rFonts w:eastAsia="Times New Roman"/>
            <w:i/>
            <w:iCs/>
            <w:szCs w:val="24"/>
            <w:lang w:eastAsia="es-CO"/>
          </w:rPr>
          <w:t>artículo 118-1</w:t>
        </w:r>
      </w:hyperlink>
      <w:r w:rsidRPr="00D72FF8">
        <w:rPr>
          <w:rFonts w:eastAsia="Times New Roman"/>
          <w:i/>
          <w:iCs/>
          <w:szCs w:val="24"/>
          <w:lang w:eastAsia="es-CO"/>
        </w:rPr>
        <w:t xml:space="preserve"> del Estatuto Tributario y otras disposiciones del Estatuto Tributario.</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xml:space="preserve">El Presidente de la República de Colombia, en uso de sus facultades constitucionales y legales, en especial de las conferidas en los numerales 11 y 20 del artículo 189 de la Constitución Política y de conformidad con lo dispuesto en el </w:t>
      </w:r>
      <w:hyperlink r:id="rId6" w:tooltip="Estatuto Tributario CETA" w:history="1">
        <w:r w:rsidRPr="00D72FF8">
          <w:rPr>
            <w:rFonts w:eastAsia="Times New Roman"/>
            <w:szCs w:val="24"/>
            <w:lang w:eastAsia="es-CO"/>
          </w:rPr>
          <w:t>artículo 118-1</w:t>
        </w:r>
      </w:hyperlink>
      <w:r w:rsidRPr="00D72FF8">
        <w:rPr>
          <w:rFonts w:eastAsia="Times New Roman"/>
          <w:szCs w:val="24"/>
          <w:lang w:eastAsia="es-CO"/>
        </w:rPr>
        <w:t xml:space="preserve"> ,</w:t>
      </w:r>
    </w:p>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b/>
          <w:szCs w:val="24"/>
          <w:lang w:eastAsia="es-CO"/>
        </w:rPr>
        <w:t>CONSIDERANDO:</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xml:space="preserve">Que el </w:t>
      </w:r>
      <w:hyperlink r:id="rId7" w:tooltip="Estatuto Tributario CETA" w:history="1">
        <w:r w:rsidRPr="00D72FF8">
          <w:rPr>
            <w:rFonts w:eastAsia="Times New Roman"/>
            <w:szCs w:val="24"/>
            <w:lang w:eastAsia="es-CO"/>
          </w:rPr>
          <w:t>artículo 118-1</w:t>
        </w:r>
      </w:hyperlink>
      <w:r w:rsidRPr="00D72FF8">
        <w:rPr>
          <w:rFonts w:eastAsia="Times New Roman"/>
          <w:szCs w:val="24"/>
          <w:lang w:eastAsia="es-CO"/>
        </w:rPr>
        <w:t xml:space="preserve"> del Estatuto Tributario, adicionado por el artículo 109 de la Ley 1607 de 2012, incluyó una limitante para la procedencia de la deducción de gastos por concepto de intereses, dentro del Capítulo VI “Normas </w:t>
      </w:r>
      <w:proofErr w:type="spellStart"/>
      <w:r w:rsidRPr="00D72FF8">
        <w:rPr>
          <w:rFonts w:eastAsia="Times New Roman"/>
          <w:szCs w:val="24"/>
          <w:lang w:eastAsia="es-CO"/>
        </w:rPr>
        <w:t>Antievasión</w:t>
      </w:r>
      <w:proofErr w:type="spellEnd"/>
      <w:r w:rsidRPr="00D72FF8">
        <w:rPr>
          <w:rFonts w:eastAsia="Times New Roman"/>
          <w:szCs w:val="24"/>
          <w:lang w:eastAsia="es-CO"/>
        </w:rPr>
        <w:t>”.</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Que en razón de lo anterior, es necesario reglamentar la aplicación de esta norma.</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Que cumplida la formalidad prevista en el numeral 8 del artículo 8° del Código de Procedimiento Administrativo y de lo Contencioso Administrativo en relación con el texto del presente decreto,</w:t>
      </w:r>
    </w:p>
    <w:p w:rsidR="00436C20" w:rsidRPr="00D72FF8" w:rsidRDefault="00436C20" w:rsidP="00436C20">
      <w:pPr>
        <w:spacing w:line="240" w:lineRule="auto"/>
        <w:jc w:val="center"/>
        <w:rPr>
          <w:rFonts w:eastAsia="Times New Roman"/>
          <w:szCs w:val="24"/>
          <w:lang w:eastAsia="es-CO"/>
        </w:rPr>
      </w:pPr>
      <w:r w:rsidRPr="00D72FF8">
        <w:rPr>
          <w:rFonts w:eastAsia="Times New Roman"/>
          <w:szCs w:val="24"/>
          <w:lang w:eastAsia="es-CO"/>
        </w:rPr>
        <w:t> </w:t>
      </w:r>
    </w:p>
    <w:p w:rsidR="00436C20" w:rsidRPr="00D72FF8" w:rsidRDefault="00436C20" w:rsidP="00436C20">
      <w:pPr>
        <w:spacing w:line="240" w:lineRule="auto"/>
        <w:jc w:val="center"/>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jc w:val="center"/>
        <w:rPr>
          <w:rFonts w:eastAsia="Times New Roman"/>
          <w:szCs w:val="24"/>
          <w:lang w:eastAsia="es-CO"/>
        </w:rPr>
      </w:pPr>
      <w:r w:rsidRPr="00D72FF8">
        <w:rPr>
          <w:rFonts w:eastAsia="Times New Roman"/>
          <w:b/>
          <w:szCs w:val="24"/>
          <w:lang w:eastAsia="es-CO"/>
        </w:rPr>
        <w:t>DECRETA:</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Artículo 1°.</w:t>
      </w:r>
      <w:r w:rsidRPr="00D72FF8">
        <w:rPr>
          <w:rFonts w:eastAsia="Times New Roman"/>
          <w:szCs w:val="24"/>
          <w:lang w:eastAsia="es-CO"/>
        </w:rPr>
        <w:t xml:space="preserve"> Para efectos de lo previsto en el </w:t>
      </w:r>
      <w:hyperlink r:id="rId8" w:tooltip="Estatuto Tributario CETA" w:history="1">
        <w:r w:rsidRPr="00D72FF8">
          <w:rPr>
            <w:rFonts w:eastAsia="Times New Roman"/>
            <w:szCs w:val="24"/>
            <w:lang w:eastAsia="es-CO"/>
          </w:rPr>
          <w:t>artículo 118-1</w:t>
        </w:r>
      </w:hyperlink>
      <w:r w:rsidRPr="00D72FF8">
        <w:rPr>
          <w:rFonts w:eastAsia="Times New Roman"/>
          <w:szCs w:val="24"/>
          <w:lang w:eastAsia="es-CO"/>
        </w:rPr>
        <w:t xml:space="preserve"> del Estatuto Tributario, el patrimonio líquido se determinará de acuerdo con lo dispuesto en el </w:t>
      </w:r>
      <w:hyperlink r:id="rId9" w:tooltip="Estatuto Tributario CETA" w:history="1">
        <w:r w:rsidRPr="00D72FF8">
          <w:rPr>
            <w:rFonts w:eastAsia="Times New Roman"/>
            <w:szCs w:val="24"/>
            <w:lang w:eastAsia="es-CO"/>
          </w:rPr>
          <w:t>artículo 282</w:t>
        </w:r>
      </w:hyperlink>
      <w:r w:rsidRPr="00D72FF8">
        <w:rPr>
          <w:rFonts w:eastAsia="Times New Roman"/>
          <w:szCs w:val="24"/>
          <w:lang w:eastAsia="es-CO"/>
        </w:rPr>
        <w:t xml:space="preserve"> del Estatuto Tributario.</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Artículo 2°.</w:t>
      </w:r>
      <w:r w:rsidRPr="00D72FF8">
        <w:rPr>
          <w:rFonts w:eastAsia="Times New Roman"/>
          <w:szCs w:val="24"/>
          <w:lang w:eastAsia="es-CO"/>
        </w:rPr>
        <w:t xml:space="preserve"> Para efectos de lo previsto en el </w:t>
      </w:r>
      <w:hyperlink r:id="rId10" w:tooltip="Estatuto Tributario CETA" w:history="1">
        <w:r w:rsidRPr="00D72FF8">
          <w:rPr>
            <w:rFonts w:eastAsia="Times New Roman"/>
            <w:szCs w:val="24"/>
            <w:lang w:eastAsia="es-CO"/>
          </w:rPr>
          <w:t>artículo 118-1</w:t>
        </w:r>
      </w:hyperlink>
      <w:r w:rsidRPr="00D72FF8">
        <w:rPr>
          <w:rFonts w:eastAsia="Times New Roman"/>
          <w:szCs w:val="24"/>
          <w:lang w:eastAsia="es-CO"/>
        </w:rPr>
        <w:t xml:space="preserve"> del Estatuto Tributario, el monto total promedio de las deudas se determinará de la siguiente manera:</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1. Para cada una de las deudas que generan intereses se identificará:</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xml:space="preserve">- </w:t>
      </w:r>
      <w:r w:rsidRPr="00D72FF8">
        <w:rPr>
          <w:rFonts w:eastAsia="Times New Roman"/>
          <w:b/>
          <w:bCs/>
          <w:szCs w:val="24"/>
          <w:lang w:eastAsia="es-CO"/>
        </w:rPr>
        <w:t xml:space="preserve">Permanencia: </w:t>
      </w:r>
      <w:r w:rsidRPr="00D72FF8">
        <w:rPr>
          <w:rFonts w:eastAsia="Times New Roman"/>
          <w:szCs w:val="24"/>
          <w:lang w:eastAsia="es-CO"/>
        </w:rPr>
        <w:t>Es el número de días calendario de permanencia de la deuda durante el respectivo año gravable, el cual incluye el día de ingreso de la deuda y no incluye el día del pago del capital o principal. Para las obligaciones que provienen de años anteriores, se entiende que el día de ingreso de la deuda es el 1° de enero del año o período gravable.</w:t>
      </w:r>
    </w:p>
    <w:p w:rsidR="00E22F42" w:rsidRDefault="00E22F42" w:rsidP="00436C20">
      <w:pPr>
        <w:adjustRightInd w:val="0"/>
        <w:spacing w:line="240" w:lineRule="auto"/>
        <w:rPr>
          <w:rFonts w:eastAsia="Times New Roman"/>
          <w:szCs w:val="24"/>
          <w:lang w:eastAsia="es-CO"/>
        </w:rPr>
      </w:pP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xml:space="preserve">- </w:t>
      </w:r>
      <w:r w:rsidRPr="00D72FF8">
        <w:rPr>
          <w:rFonts w:eastAsia="Times New Roman"/>
          <w:b/>
          <w:bCs/>
          <w:szCs w:val="24"/>
          <w:lang w:eastAsia="es-CO"/>
        </w:rPr>
        <w:t xml:space="preserve">Base: </w:t>
      </w:r>
      <w:r w:rsidRPr="00D72FF8">
        <w:rPr>
          <w:rFonts w:eastAsia="Times New Roman"/>
          <w:szCs w:val="24"/>
          <w:lang w:eastAsia="es-CO"/>
        </w:rPr>
        <w:t>Es el valor del capital o principal de la deuda sobre el que se liquidan los intereses durante el período de permanencia.</w:t>
      </w:r>
    </w:p>
    <w:p w:rsidR="00E22F42" w:rsidRDefault="00E22F42" w:rsidP="00436C20">
      <w:pPr>
        <w:adjustRightInd w:val="0"/>
        <w:spacing w:line="240" w:lineRule="auto"/>
        <w:rPr>
          <w:rFonts w:eastAsia="Times New Roman"/>
          <w:szCs w:val="24"/>
          <w:lang w:eastAsia="es-CO"/>
        </w:rPr>
      </w:pP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xml:space="preserve">- </w:t>
      </w:r>
      <w:r w:rsidRPr="00D72FF8">
        <w:rPr>
          <w:rFonts w:eastAsia="Times New Roman"/>
          <w:b/>
          <w:bCs/>
          <w:szCs w:val="24"/>
          <w:lang w:eastAsia="es-CO"/>
        </w:rPr>
        <w:t xml:space="preserve">Deuda ponderada: </w:t>
      </w:r>
      <w:r w:rsidRPr="00D72FF8">
        <w:rPr>
          <w:rFonts w:eastAsia="Times New Roman"/>
          <w:szCs w:val="24"/>
          <w:lang w:eastAsia="es-CO"/>
        </w:rPr>
        <w:t>Es el resultado de multiplicar el número de días de permanencia por la base.</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En los casos en que haya amortizaciones o pagos parciales del capital de una misma deuda, la identificación de los anteriores elementos deberá hacerse en forma separada para cada tramo del saldo por pagar como si se tratara de deudas independientes.</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2. La deuda ponderada total se determinará sumando la deuda ponderada, calculada de acuerdo con lo previsto en el numeral 1 de este artículo, de todas las deudas que generan intereses.</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lastRenderedPageBreak/>
        <w:t>3. El monto total promedio de las deudas será el resultado de dividir la deuda ponderada total, calculada de acuerdo con lo previsto en el numeral 2 de este artículo por el número total de días calendario del correspondiente año o período gravable.</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 xml:space="preserve">Parágrafo. </w:t>
      </w:r>
      <w:r w:rsidRPr="00D72FF8">
        <w:rPr>
          <w:rFonts w:eastAsia="Times New Roman"/>
          <w:szCs w:val="24"/>
          <w:lang w:eastAsia="es-CO"/>
        </w:rPr>
        <w:t>Para los contribuyentes que durante el correspondiente período gravable tengan deudas que generan intereses denominadas en monedas diferentes al peso colombiano, la identificación de la base en pesos se hará para cada deuda con su equivalente en dólares de los Estados Unidos de América multiplicado por el promedio diario de la Tasa Representativa del Mercado correspondiente al período de permanencia. Para determinar la anterior equivalencia de otras monedas con respecto al dólar de los Estados Unidos de América se utilizará el tipo de cambio de esta otra moneda con respecto al dólar de los Estados Unidos de América vigente el día de ingreso de la deuda o el 1° de enero del período gravable si la deuda proviene de años anteriores.</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 xml:space="preserve">Artículo 3°. </w:t>
      </w:r>
      <w:r w:rsidRPr="00D72FF8">
        <w:rPr>
          <w:rFonts w:eastAsia="Times New Roman"/>
          <w:szCs w:val="24"/>
          <w:lang w:eastAsia="es-CO"/>
        </w:rPr>
        <w:t>Para determinar los gastos por intereses no deducibles, se aplicará el siguiente procedimiento:</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bCs/>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bCs/>
          <w:szCs w:val="24"/>
          <w:lang w:eastAsia="es-CO"/>
        </w:rPr>
        <w:t xml:space="preserve">1. Monto máximo de endeudamiento que genera intereses deducibles: </w:t>
      </w:r>
      <w:r w:rsidRPr="00D72FF8">
        <w:rPr>
          <w:rFonts w:eastAsia="Times New Roman"/>
          <w:szCs w:val="24"/>
          <w:lang w:eastAsia="es-CO"/>
        </w:rPr>
        <w:t>El monto máximo de endeudamiento que genera intereses deducibles se determinará tomando el patrimonio líquido determinado a 31 de diciembre del año gravable inmediatamente anterior y multiplicándolo por tres (3).</w:t>
      </w:r>
    </w:p>
    <w:p w:rsidR="00117EF3" w:rsidRPr="00D72FF8" w:rsidRDefault="00117EF3" w:rsidP="00436C20">
      <w:pPr>
        <w:adjustRightInd w:val="0"/>
        <w:spacing w:line="240" w:lineRule="auto"/>
        <w:rPr>
          <w:rFonts w:eastAsia="Times New Roman"/>
          <w:b/>
          <w:bCs/>
          <w:szCs w:val="24"/>
          <w:lang w:eastAsia="es-CO"/>
        </w:rPr>
      </w:pPr>
      <w:bookmarkStart w:id="0" w:name="_GoBack"/>
      <w:bookmarkEnd w:id="0"/>
    </w:p>
    <w:p w:rsidR="00436C20" w:rsidRPr="00D72FF8" w:rsidRDefault="00436C20" w:rsidP="00436C20">
      <w:pPr>
        <w:adjustRightInd w:val="0"/>
        <w:spacing w:line="240" w:lineRule="auto"/>
        <w:rPr>
          <w:rFonts w:eastAsia="Times New Roman"/>
          <w:szCs w:val="24"/>
          <w:lang w:eastAsia="es-CO"/>
        </w:rPr>
      </w:pPr>
      <w:r w:rsidRPr="00D72FF8">
        <w:rPr>
          <w:rFonts w:eastAsia="Times New Roman"/>
          <w:b/>
          <w:bCs/>
          <w:szCs w:val="24"/>
          <w:lang w:eastAsia="es-CO"/>
        </w:rPr>
        <w:t xml:space="preserve">2. Exceso de endeudamiento: </w:t>
      </w:r>
      <w:r w:rsidRPr="00D72FF8">
        <w:rPr>
          <w:rFonts w:eastAsia="Times New Roman"/>
          <w:szCs w:val="24"/>
          <w:lang w:eastAsia="es-CO"/>
        </w:rPr>
        <w:t>El exceso de endeudamiento se determinará tomando el total promedio de las deudas, determinado conforme al artículo anterior, y restándole el monto máximo de endeudamiento, determinado conforme con el numeral primero de este artículo, cuando a ello haya lugar.</w:t>
      </w:r>
    </w:p>
    <w:p w:rsidR="00117EF3" w:rsidRPr="00D72FF8" w:rsidRDefault="00117EF3" w:rsidP="00436C20">
      <w:pPr>
        <w:adjustRightInd w:val="0"/>
        <w:spacing w:line="240" w:lineRule="auto"/>
        <w:rPr>
          <w:rFonts w:eastAsia="Times New Roman"/>
          <w:b/>
          <w:bCs/>
          <w:szCs w:val="24"/>
          <w:lang w:eastAsia="es-CO"/>
        </w:rPr>
      </w:pPr>
    </w:p>
    <w:p w:rsidR="00436C20" w:rsidRPr="00D72FF8" w:rsidRDefault="00436C20" w:rsidP="00436C20">
      <w:pPr>
        <w:adjustRightInd w:val="0"/>
        <w:spacing w:line="240" w:lineRule="auto"/>
        <w:rPr>
          <w:rFonts w:eastAsia="Times New Roman"/>
          <w:szCs w:val="24"/>
          <w:lang w:eastAsia="es-CO"/>
        </w:rPr>
      </w:pPr>
      <w:r w:rsidRPr="00D72FF8">
        <w:rPr>
          <w:rFonts w:eastAsia="Times New Roman"/>
          <w:b/>
          <w:bCs/>
          <w:szCs w:val="24"/>
          <w:lang w:eastAsia="es-CO"/>
        </w:rPr>
        <w:t xml:space="preserve">3. Proporción de intereses no deducibles: </w:t>
      </w:r>
      <w:r w:rsidRPr="00D72FF8">
        <w:rPr>
          <w:rFonts w:eastAsia="Times New Roman"/>
          <w:szCs w:val="24"/>
          <w:lang w:eastAsia="es-CO"/>
        </w:rPr>
        <w:t>La proporción de intereses no deducibles se determinará dividiendo el exceso de endeudamiento, determinado en el numeral anterior, por el monto máximo de endeudamiento.</w:t>
      </w:r>
    </w:p>
    <w:p w:rsidR="00117EF3" w:rsidRPr="00D72FF8" w:rsidRDefault="00117EF3" w:rsidP="00436C20">
      <w:pPr>
        <w:adjustRightInd w:val="0"/>
        <w:spacing w:line="240" w:lineRule="auto"/>
        <w:rPr>
          <w:rFonts w:eastAsia="Times New Roman"/>
          <w:b/>
          <w:bCs/>
          <w:szCs w:val="24"/>
          <w:lang w:eastAsia="es-CO"/>
        </w:rPr>
      </w:pPr>
    </w:p>
    <w:p w:rsidR="00436C20" w:rsidRPr="00D72FF8" w:rsidRDefault="00436C20" w:rsidP="00436C20">
      <w:pPr>
        <w:adjustRightInd w:val="0"/>
        <w:spacing w:line="240" w:lineRule="auto"/>
        <w:rPr>
          <w:rFonts w:eastAsia="Times New Roman"/>
          <w:szCs w:val="24"/>
          <w:lang w:eastAsia="es-CO"/>
        </w:rPr>
      </w:pPr>
      <w:r w:rsidRPr="00D72FF8">
        <w:rPr>
          <w:rFonts w:eastAsia="Times New Roman"/>
          <w:b/>
          <w:bCs/>
          <w:szCs w:val="24"/>
          <w:lang w:eastAsia="es-CO"/>
        </w:rPr>
        <w:t xml:space="preserve">4. Gastos por concepto de interés no deducibles del respectivo período: </w:t>
      </w:r>
      <w:r w:rsidRPr="00D72FF8">
        <w:rPr>
          <w:rFonts w:eastAsia="Times New Roman"/>
          <w:szCs w:val="24"/>
          <w:lang w:eastAsia="es-CO"/>
        </w:rPr>
        <w:t>Los gastos por concepto de interés no deducibles del respectivo período se determinarán aplicando la proporción de intereses no deducible al total de intereses pagados o abonados en cuenta durante el año o período fiscal objeto de determinación.</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Parágrafo 1°.</w:t>
      </w:r>
      <w:r w:rsidRPr="00D72FF8">
        <w:rPr>
          <w:rFonts w:eastAsia="Times New Roman"/>
          <w:szCs w:val="24"/>
          <w:lang w:eastAsia="es-CO"/>
        </w:rPr>
        <w:t xml:space="preserve"> Los contribuyentes del impuesto sobre la renta y complementarios, que se hayan constituido o constituyan como sociedades, entidades o vehículos de propósito especial para la construcción de proyectos de vivienda a los que se refiere la Ley 1537 de 2012, determinarán el monto máximo de endeudamiento que genera intereses deducibles, tomando el patrimonio líquido determinado a 31 de diciembre del año gravable inmediatamente anterior y multiplicándolo por cuatro (4).</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Parágrafo 2°.</w:t>
      </w:r>
      <w:r w:rsidRPr="00D72FF8">
        <w:rPr>
          <w:rFonts w:eastAsia="Times New Roman"/>
          <w:szCs w:val="24"/>
          <w:lang w:eastAsia="es-CO"/>
        </w:rPr>
        <w:t xml:space="preserve"> Para efectos de determinar los gastos por intereses no deducibles, la diferencia en cambio del capital o principal no se considerará como intereses. La diferencia en cambio de los intereses sí se considerará como interés.</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Artículo 4°.</w:t>
      </w:r>
      <w:r w:rsidRPr="00D72FF8">
        <w:rPr>
          <w:rFonts w:eastAsia="Times New Roman"/>
          <w:szCs w:val="24"/>
          <w:lang w:eastAsia="es-CO"/>
        </w:rPr>
        <w:t xml:space="preserve"> Lo dispuesto en los artículos anteriores aplica sin perjuicio de los requisitos para la procedencia de las deducciones tales como la relación de causalidad con la actividad productora de renta, la proporcionalidad y necesidad, los cuales deben ser evaluados con criterio comercial en los términos previstos en el Estatuto Tributario.</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Artículo 5°.</w:t>
      </w:r>
      <w:r w:rsidRPr="00D72FF8">
        <w:rPr>
          <w:rFonts w:eastAsia="Times New Roman"/>
          <w:szCs w:val="24"/>
          <w:lang w:eastAsia="es-CO"/>
        </w:rPr>
        <w:t xml:space="preserve"> Para efectos de lo previsto en el parágrafo 4° del </w:t>
      </w:r>
      <w:hyperlink r:id="rId11" w:tooltip="Estatuto Tributario CETA" w:history="1">
        <w:r w:rsidRPr="00D72FF8">
          <w:rPr>
            <w:rFonts w:eastAsia="Times New Roman"/>
            <w:szCs w:val="24"/>
            <w:lang w:eastAsia="es-CO"/>
          </w:rPr>
          <w:t>artículo 118-1</w:t>
        </w:r>
      </w:hyperlink>
      <w:r w:rsidRPr="00D72FF8">
        <w:rPr>
          <w:rFonts w:eastAsia="Times New Roman"/>
          <w:szCs w:val="24"/>
          <w:lang w:eastAsia="es-CO"/>
        </w:rPr>
        <w:t xml:space="preserve"> del Estatuto Tributario, se entiende por infraestructura de servicios públicos todo conjunto de bienes organizados de forma permanente y estable, que sean necesarios para la prestación de servicios sometidos, a la regulación del Estado y bajo su control y/o vigilancia, y que </w:t>
      </w:r>
      <w:r w:rsidRPr="00D72FF8">
        <w:rPr>
          <w:rFonts w:eastAsia="Times New Roman"/>
          <w:szCs w:val="24"/>
          <w:lang w:eastAsia="es-CO"/>
        </w:rPr>
        <w:lastRenderedPageBreak/>
        <w:t>propendan por el crecimiento, competitividad y mejora de la calidad de la vida de los ciudadanos.</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xml:space="preserve">Lo dispuesto en el parágrafo 4° del </w:t>
      </w:r>
      <w:hyperlink r:id="rId12" w:tooltip="Estatuto Tributario CETA" w:history="1">
        <w:r w:rsidRPr="00D72FF8">
          <w:rPr>
            <w:rFonts w:eastAsia="Times New Roman"/>
            <w:szCs w:val="24"/>
            <w:lang w:eastAsia="es-CO"/>
          </w:rPr>
          <w:t>artículo 118-1</w:t>
        </w:r>
      </w:hyperlink>
      <w:r w:rsidRPr="00D72FF8">
        <w:rPr>
          <w:rFonts w:eastAsia="Times New Roman"/>
          <w:szCs w:val="24"/>
          <w:lang w:eastAsia="es-CO"/>
        </w:rPr>
        <w:t xml:space="preserve"> del Estatuto Tributario no será aplicable a los proveedores de las sociedades, entidades o vehículos de propósito especial que se encuentren a cargo del proyecto de infraestructura de servicios públicos.</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Artículo 6°.</w:t>
      </w:r>
      <w:r w:rsidRPr="00D72FF8">
        <w:rPr>
          <w:rFonts w:eastAsia="Times New Roman"/>
          <w:szCs w:val="24"/>
          <w:lang w:eastAsia="es-CO"/>
        </w:rPr>
        <w:t xml:space="preserve"> Las operaciones de financiamiento que de acuerdo con el literal a) del numeral 1 del </w:t>
      </w:r>
      <w:hyperlink r:id="rId13" w:tooltip="Estatuto Tributario CETA" w:history="1">
        <w:r w:rsidRPr="00D72FF8">
          <w:rPr>
            <w:rFonts w:eastAsia="Times New Roman"/>
            <w:szCs w:val="24"/>
            <w:lang w:eastAsia="es-CO"/>
          </w:rPr>
          <w:t>artículo 260-4</w:t>
        </w:r>
      </w:hyperlink>
      <w:r w:rsidRPr="00D72FF8">
        <w:rPr>
          <w:rFonts w:eastAsia="Times New Roman"/>
          <w:szCs w:val="24"/>
          <w:lang w:eastAsia="es-CO"/>
        </w:rPr>
        <w:t xml:space="preserve"> del Estatuto Tributario no se consideren como préstamos ni como intereses no se tendrán en cuenta para el cálculo establecido en los artículos 2° y 3° de este decreto.</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Artículo 7°.</w:t>
      </w:r>
      <w:r w:rsidRPr="00D72FF8">
        <w:rPr>
          <w:rFonts w:eastAsia="Times New Roman"/>
          <w:szCs w:val="24"/>
          <w:lang w:eastAsia="es-CO"/>
        </w:rPr>
        <w:t xml:space="preserve"> La limitante prevista en el </w:t>
      </w:r>
      <w:hyperlink r:id="rId14" w:tooltip="Estatuto Tributario CETA" w:history="1">
        <w:r w:rsidRPr="00D72FF8">
          <w:rPr>
            <w:rFonts w:eastAsia="Times New Roman"/>
            <w:szCs w:val="24"/>
            <w:lang w:eastAsia="es-CO"/>
          </w:rPr>
          <w:t>artículo 118-1</w:t>
        </w:r>
      </w:hyperlink>
      <w:r w:rsidRPr="00D72FF8">
        <w:rPr>
          <w:rFonts w:eastAsia="Times New Roman"/>
          <w:szCs w:val="24"/>
          <w:lang w:eastAsia="es-CO"/>
        </w:rPr>
        <w:t xml:space="preserve"> no aplicará en el año de constitución de las personas jurídicas por no existir patrimonio líquido del año inmediatamente anterior al de su constitución, sin perjuicio de la aplicación de las normas legales y antecedentes jurisprudenciales relativos al abuso en materia tributaria.</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 </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b/>
          <w:szCs w:val="24"/>
          <w:lang w:eastAsia="es-CO"/>
        </w:rPr>
        <w:t>Publíquese y cúmplase.</w:t>
      </w:r>
    </w:p>
    <w:p w:rsidR="00436C20" w:rsidRPr="00D72FF8" w:rsidRDefault="00436C20" w:rsidP="00436C20">
      <w:pPr>
        <w:adjustRightInd w:val="0"/>
        <w:spacing w:line="240" w:lineRule="auto"/>
        <w:rPr>
          <w:rFonts w:eastAsia="Times New Roman"/>
          <w:szCs w:val="24"/>
          <w:lang w:eastAsia="es-CO"/>
        </w:rPr>
      </w:pPr>
      <w:r w:rsidRPr="00D72FF8">
        <w:rPr>
          <w:rFonts w:eastAsia="Times New Roman"/>
          <w:szCs w:val="24"/>
          <w:lang w:eastAsia="es-CO"/>
        </w:rPr>
        <w:t>Dado en Bogotá D. C., a 27 de diciembre de 2013.</w:t>
      </w:r>
    </w:p>
    <w:p w:rsidR="00B51D80" w:rsidRPr="00D72FF8" w:rsidRDefault="00B51D80">
      <w:pPr>
        <w:rPr>
          <w:szCs w:val="24"/>
        </w:rPr>
      </w:pPr>
    </w:p>
    <w:sectPr w:rsidR="00B51D80" w:rsidRPr="00D72FF8"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20"/>
    <w:rsid w:val="00117EF3"/>
    <w:rsid w:val="00436C20"/>
    <w:rsid w:val="00A067C7"/>
    <w:rsid w:val="00B51D80"/>
    <w:rsid w:val="00D72FF8"/>
    <w:rsid w:val="00E22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39" TargetMode="External"/><Relationship Id="rId13" Type="http://schemas.openxmlformats.org/officeDocument/2006/relationships/hyperlink" Target="http://www.ceta.org.co/html/vista_de_un_articulo.asp?Norma=10883" TargetMode="External"/><Relationship Id="rId3" Type="http://schemas.openxmlformats.org/officeDocument/2006/relationships/settings" Target="settings.xml"/><Relationship Id="rId7" Type="http://schemas.openxmlformats.org/officeDocument/2006/relationships/hyperlink" Target="http://www.ceta.org.co/html/vista_de_un_articulo.asp?Norma=29939" TargetMode="External"/><Relationship Id="rId12" Type="http://schemas.openxmlformats.org/officeDocument/2006/relationships/hyperlink" Target="http://www.ceta.org.co/html/vista_de_un_articulo.asp?Norma=2993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9939" TargetMode="External"/><Relationship Id="rId11" Type="http://schemas.openxmlformats.org/officeDocument/2006/relationships/hyperlink" Target="http://www.ceta.org.co/html/vista_de_un_articulo.asp?Norma=29939" TargetMode="External"/><Relationship Id="rId5" Type="http://schemas.openxmlformats.org/officeDocument/2006/relationships/hyperlink" Target="http://www.ceta.org.co/html/vista_de_un_articulo.asp?Norma=29939" TargetMode="External"/><Relationship Id="rId15" Type="http://schemas.openxmlformats.org/officeDocument/2006/relationships/fontTable" Target="fontTable.xml"/><Relationship Id="rId10" Type="http://schemas.openxmlformats.org/officeDocument/2006/relationships/hyperlink" Target="http://www.ceta.org.co/html/vista_de_un_articulo.asp?Norma=2993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59" TargetMode="External"/><Relationship Id="rId14" Type="http://schemas.openxmlformats.org/officeDocument/2006/relationships/hyperlink" Target="http://www.ceta.org.co/html/vista_de_un_articulo.asp?Norma=299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1271</Words>
  <Characters>6994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2014-01-04T21:51:00Z</dcterms:created>
  <dcterms:modified xsi:type="dcterms:W3CDTF">2014-01-17T01:16:00Z</dcterms:modified>
</cp:coreProperties>
</file>